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CB5FF9">
        <w:rPr>
          <w:rFonts w:asciiTheme="majorEastAsia" w:eastAsiaTheme="majorEastAsia" w:hAnsiTheme="majorEastAsia" w:hint="eastAsia"/>
          <w:color w:val="000000"/>
          <w:szCs w:val="21"/>
        </w:rPr>
        <w:t>5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CB5FF9">
        <w:rPr>
          <w:rFonts w:asciiTheme="majorEastAsia" w:eastAsiaTheme="majorEastAsia" w:hAnsiTheme="majorEastAsia" w:hint="eastAsia"/>
          <w:color w:val="000000"/>
          <w:szCs w:val="21"/>
        </w:rPr>
        <w:t>31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CB5FF9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CB5FF9" w:rsidRPr="00CB5FF9">
        <w:rPr>
          <w:rFonts w:asciiTheme="majorEastAsia" w:eastAsiaTheme="majorEastAsia" w:hAnsiTheme="majorEastAsia" w:hint="eastAsia"/>
          <w:color w:val="000000"/>
          <w:sz w:val="28"/>
          <w:szCs w:val="28"/>
        </w:rPr>
        <w:t>7,644,714,570.00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F764FC" w:rsidRPr="00A5107E" w:rsidRDefault="00F764FC" w:rsidP="00A5107E">
      <w:pPr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中国建设银行于2018年5月30日（含</w:t>
      </w:r>
      <w:bookmarkStart w:id="0" w:name="_GoBack"/>
      <w:bookmarkEnd w:id="0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）起，调整“乾元—满溢”30天开放式资产组合型人民币理财产品（机构版）客户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，具体如下表：</w:t>
      </w:r>
    </w:p>
    <w:p w:rsidR="00F764FC" w:rsidRPr="000F5B1E" w:rsidRDefault="00F764FC" w:rsidP="00F764F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tbl>
      <w:tblPr>
        <w:tblW w:w="3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421"/>
        <w:gridCol w:w="2563"/>
      </w:tblGrid>
      <w:tr w:rsidR="00F764FC" w:rsidRPr="007B6C6E" w:rsidTr="00F764FC">
        <w:trPr>
          <w:trHeight w:val="20"/>
          <w:tblHeader/>
          <w:jc w:val="center"/>
        </w:trPr>
        <w:tc>
          <w:tcPr>
            <w:tcW w:w="1815" w:type="dxa"/>
            <w:vAlign w:val="center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档期设置</w:t>
            </w:r>
          </w:p>
        </w:tc>
        <w:tc>
          <w:tcPr>
            <w:tcW w:w="2421" w:type="dxa"/>
            <w:vAlign w:val="center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（调整前）</w:t>
            </w:r>
          </w:p>
        </w:tc>
        <w:tc>
          <w:tcPr>
            <w:tcW w:w="2563" w:type="dxa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（调整后）</w:t>
            </w:r>
          </w:p>
        </w:tc>
      </w:tr>
      <w:tr w:rsidR="00F764FC" w:rsidRPr="007B6C6E" w:rsidTr="00F764FC">
        <w:trPr>
          <w:trHeight w:val="20"/>
          <w:jc w:val="center"/>
        </w:trPr>
        <w:tc>
          <w:tcPr>
            <w:tcW w:w="1815" w:type="dxa"/>
            <w:vAlign w:val="center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</w:rPr>
              <w:t>30天</w:t>
            </w:r>
          </w:p>
        </w:tc>
        <w:tc>
          <w:tcPr>
            <w:tcW w:w="2421" w:type="dxa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4.35%</w:t>
            </w:r>
          </w:p>
        </w:tc>
        <w:tc>
          <w:tcPr>
            <w:tcW w:w="2563" w:type="dxa"/>
            <w:hideMark/>
          </w:tcPr>
          <w:p w:rsidR="00F764FC" w:rsidRPr="007B6C6E" w:rsidRDefault="00F764FC" w:rsidP="00C24F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B6C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4.15%</w:t>
            </w:r>
          </w:p>
        </w:tc>
      </w:tr>
    </w:tbl>
    <w:p w:rsidR="00F764FC" w:rsidRPr="000F5B1E" w:rsidRDefault="00F764FC" w:rsidP="00F764FC">
      <w:pPr>
        <w:spacing w:line="560" w:lineRule="exact"/>
        <w:rPr>
          <w:rFonts w:ascii="彩虹粗仿宋" w:eastAsia="彩虹粗仿宋"/>
          <w:color w:val="000000"/>
          <w:sz w:val="32"/>
          <w:szCs w:val="32"/>
        </w:rPr>
      </w:pPr>
    </w:p>
    <w:p w:rsidR="00F764FC" w:rsidRPr="00A5107E" w:rsidRDefault="00F764FC" w:rsidP="00A5107E">
      <w:pPr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新客户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于2018年5月30日（含）起执行。对于2018年5月30日（不含）前已经购买成功且未赎回的存量投资本金，其中封闭期内的份额仍按照购买确认日当日的客户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计算投资收益，非封闭期内的份额从2018年5月30日（含）起按调整后的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计算投资收益。2018年5月30日（含）后购买的部分自动执行调整后的客户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行最终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支付的</w:t>
      </w:r>
      <w:proofErr w:type="gramStart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实际年化收益率</w:t>
      </w:r>
      <w:proofErr w:type="gramEnd"/>
      <w:r w:rsidRPr="00A5107E">
        <w:rPr>
          <w:rFonts w:asciiTheme="majorEastAsia" w:eastAsiaTheme="majorEastAsia" w:hAnsiTheme="majorEastAsia" w:hint="eastAsia"/>
          <w:color w:val="000000"/>
          <w:sz w:val="28"/>
          <w:szCs w:val="28"/>
        </w:rPr>
        <w:t>为准。</w:t>
      </w:r>
    </w:p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653337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ABC0C24" wp14:editId="2CF61600">
            <wp:extent cx="3743325" cy="18383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Pr="007E2A3E" w:rsidRDefault="00653337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ACC54E4" wp14:editId="6F76E829">
            <wp:extent cx="3857625" cy="2400300"/>
            <wp:effectExtent l="1905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CA3281" w:rsidRPr="007E2A3E" w:rsidRDefault="00653337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F317E6" wp14:editId="57234963">
            <wp:extent cx="5274310" cy="2794041"/>
            <wp:effectExtent l="0" t="0" r="21590" b="2540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lastRenderedPageBreak/>
        <w:t>三、产品整体运作情况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CA3281" w:rsidRPr="007E2A3E" w:rsidRDefault="00CA3281" w:rsidP="00184972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D75127"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D75127">
        <w:rPr>
          <w:rFonts w:asciiTheme="majorEastAsia" w:eastAsiaTheme="majorEastAsia" w:hAnsiTheme="majorEastAsia" w:hint="eastAsia"/>
          <w:color w:val="000000"/>
          <w:sz w:val="28"/>
          <w:szCs w:val="28"/>
        </w:rPr>
        <w:t>5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sectPr w:rsidR="00CA3281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9B" w:rsidRDefault="003E649B" w:rsidP="00CA3281">
      <w:r>
        <w:separator/>
      </w:r>
    </w:p>
  </w:endnote>
  <w:endnote w:type="continuationSeparator" w:id="0">
    <w:p w:rsidR="003E649B" w:rsidRDefault="003E649B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9B" w:rsidRDefault="003E649B" w:rsidP="00CA3281">
      <w:r>
        <w:separator/>
      </w:r>
    </w:p>
  </w:footnote>
  <w:footnote w:type="continuationSeparator" w:id="0">
    <w:p w:rsidR="003E649B" w:rsidRDefault="003E649B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E0123"/>
    <w:rsid w:val="00121009"/>
    <w:rsid w:val="00153C80"/>
    <w:rsid w:val="00184972"/>
    <w:rsid w:val="00254C37"/>
    <w:rsid w:val="00334E76"/>
    <w:rsid w:val="003537DE"/>
    <w:rsid w:val="003767F0"/>
    <w:rsid w:val="003E476B"/>
    <w:rsid w:val="003E649B"/>
    <w:rsid w:val="003E73F0"/>
    <w:rsid w:val="004302D5"/>
    <w:rsid w:val="00451A9A"/>
    <w:rsid w:val="00511D81"/>
    <w:rsid w:val="00565AB2"/>
    <w:rsid w:val="00646EE8"/>
    <w:rsid w:val="006475CF"/>
    <w:rsid w:val="00653337"/>
    <w:rsid w:val="006B51CE"/>
    <w:rsid w:val="006D00E4"/>
    <w:rsid w:val="00702240"/>
    <w:rsid w:val="007B0CC9"/>
    <w:rsid w:val="007B6C6E"/>
    <w:rsid w:val="007D6A17"/>
    <w:rsid w:val="007E2A3E"/>
    <w:rsid w:val="00842413"/>
    <w:rsid w:val="008A0862"/>
    <w:rsid w:val="008C1C11"/>
    <w:rsid w:val="008C2A7F"/>
    <w:rsid w:val="008F76FC"/>
    <w:rsid w:val="009628BB"/>
    <w:rsid w:val="009D7C72"/>
    <w:rsid w:val="009F0B37"/>
    <w:rsid w:val="009F5360"/>
    <w:rsid w:val="00A17E63"/>
    <w:rsid w:val="00A27A60"/>
    <w:rsid w:val="00A27B1E"/>
    <w:rsid w:val="00A43784"/>
    <w:rsid w:val="00A5107E"/>
    <w:rsid w:val="00A66F45"/>
    <w:rsid w:val="00AA1CF9"/>
    <w:rsid w:val="00AA646F"/>
    <w:rsid w:val="00AA7A73"/>
    <w:rsid w:val="00AD4A45"/>
    <w:rsid w:val="00AF44C7"/>
    <w:rsid w:val="00AF5D6B"/>
    <w:rsid w:val="00B25C56"/>
    <w:rsid w:val="00BB3141"/>
    <w:rsid w:val="00C205F7"/>
    <w:rsid w:val="00CA3281"/>
    <w:rsid w:val="00CB5FF9"/>
    <w:rsid w:val="00D1586B"/>
    <w:rsid w:val="00D75127"/>
    <w:rsid w:val="00D94FDA"/>
    <w:rsid w:val="00DA7CFC"/>
    <w:rsid w:val="00DE1C0D"/>
    <w:rsid w:val="00DF404F"/>
    <w:rsid w:val="00E20346"/>
    <w:rsid w:val="00E463B2"/>
    <w:rsid w:val="00E60892"/>
    <w:rsid w:val="00E84F1B"/>
    <w:rsid w:val="00EF1450"/>
    <w:rsid w:val="00F764FC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2.7468627490266007E-2"/>
                  <c:y val="1.55440414507772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'2018年5月'!$A$125:$A$126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'2018年5月'!$B$125:$B$126</c:f>
              <c:numCache>
                <c:formatCode>0.00%</c:formatCode>
                <c:ptCount val="2"/>
                <c:pt idx="0">
                  <c:v>2.7515508675890052E-3</c:v>
                </c:pt>
                <c:pt idx="1">
                  <c:v>0.99724844913218735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'2018年5月'!$A$132:$A$137</c:f>
              <c:strCache>
                <c:ptCount val="6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  <c:pt idx="5">
                  <c:v>无</c:v>
                </c:pt>
              </c:strCache>
            </c:strRef>
          </c:cat>
          <c:val>
            <c:numRef>
              <c:f>'2018年5月'!$B$132:$B$137</c:f>
              <c:numCache>
                <c:formatCode>0.00%</c:formatCode>
                <c:ptCount val="6"/>
                <c:pt idx="0">
                  <c:v>3.2949871342167959E-2</c:v>
                </c:pt>
                <c:pt idx="1">
                  <c:v>8.8311644165625286E-2</c:v>
                </c:pt>
                <c:pt idx="2">
                  <c:v>0.1919000506967862</c:v>
                </c:pt>
                <c:pt idx="3">
                  <c:v>0.16073606238136373</c:v>
                </c:pt>
                <c:pt idx="4">
                  <c:v>0.14107250176075548</c:v>
                </c:pt>
                <c:pt idx="5">
                  <c:v>0.38502986965330133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892001204767436"/>
          <c:y val="5.057471264367816E-2"/>
          <c:w val="0.60253727846860672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'2018年5月'!$B$141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'2018年5月'!$A$142:$A$152</c:f>
              <c:strCache>
                <c:ptCount val="11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电力、热力、燃气及水的生产和供应业</c:v>
                </c:pt>
                <c:pt idx="7">
                  <c:v>科学研究、技术服务和地质勘查业</c:v>
                </c:pt>
                <c:pt idx="8">
                  <c:v>制造业</c:v>
                </c:pt>
                <c:pt idx="9">
                  <c:v>批发和零售业</c:v>
                </c:pt>
                <c:pt idx="10">
                  <c:v>金融业</c:v>
                </c:pt>
              </c:strCache>
            </c:strRef>
          </c:cat>
          <c:val>
            <c:numRef>
              <c:f>'2018年5月'!$B$142:$B$151</c:f>
              <c:numCache>
                <c:formatCode>0.00%</c:formatCode>
                <c:ptCount val="10"/>
                <c:pt idx="0">
                  <c:v>3.4520320202109246E-2</c:v>
                </c:pt>
                <c:pt idx="1">
                  <c:v>2.372390736636093E-2</c:v>
                </c:pt>
                <c:pt idx="2">
                  <c:v>0</c:v>
                </c:pt>
                <c:pt idx="3">
                  <c:v>0.15818574233947993</c:v>
                </c:pt>
                <c:pt idx="4">
                  <c:v>0.56882253860660448</c:v>
                </c:pt>
                <c:pt idx="5">
                  <c:v>7.240404728727988E-2</c:v>
                </c:pt>
                <c:pt idx="6">
                  <c:v>2.6359897073734366E-2</c:v>
                </c:pt>
                <c:pt idx="7">
                  <c:v>6.5899742684335915E-3</c:v>
                </c:pt>
                <c:pt idx="8">
                  <c:v>5.2719794147468732E-2</c:v>
                </c:pt>
                <c:pt idx="9">
                  <c:v>3.2949871342167959E-2</c:v>
                </c:pt>
              </c:numCache>
            </c:numRef>
          </c:val>
        </c:ser>
        <c:ser>
          <c:idx val="1"/>
          <c:order val="1"/>
          <c:tx>
            <c:strRef>
              <c:f>'2018年5月'!$C$141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'2018年5月'!$A$142:$A$152</c:f>
              <c:strCache>
                <c:ptCount val="11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电力、热力、燃气及水的生产和供应业</c:v>
                </c:pt>
                <c:pt idx="7">
                  <c:v>科学研究、技术服务和地质勘查业</c:v>
                </c:pt>
                <c:pt idx="8">
                  <c:v>制造业</c:v>
                </c:pt>
                <c:pt idx="9">
                  <c:v>批发和零售业</c:v>
                </c:pt>
                <c:pt idx="10">
                  <c:v>金融业</c:v>
                </c:pt>
              </c:strCache>
            </c:strRef>
          </c:cat>
          <c:val>
            <c:numRef>
              <c:f>'2018年5月'!$C$142:$C$152</c:f>
              <c:numCache>
                <c:formatCode>0.00%</c:formatCode>
                <c:ptCount val="11"/>
                <c:pt idx="0">
                  <c:v>4.5690419023744516E-2</c:v>
                </c:pt>
                <c:pt idx="1">
                  <c:v>2.4422610073404731E-2</c:v>
                </c:pt>
                <c:pt idx="2">
                  <c:v>0</c:v>
                </c:pt>
                <c:pt idx="3">
                  <c:v>4.0122859406307776E-2</c:v>
                </c:pt>
                <c:pt idx="4">
                  <c:v>0.68914981446500412</c:v>
                </c:pt>
                <c:pt idx="5">
                  <c:v>5.2334164443010138E-2</c:v>
                </c:pt>
                <c:pt idx="6">
                  <c:v>3.4889442962006759E-2</c:v>
                </c:pt>
                <c:pt idx="7">
                  <c:v>0</c:v>
                </c:pt>
                <c:pt idx="8">
                  <c:v>6.9778885924013517E-2</c:v>
                </c:pt>
                <c:pt idx="9">
                  <c:v>4.3611803702508452E-2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'2018年5月'!$D$141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'2018年5月'!$A$142:$A$152</c:f>
              <c:strCache>
                <c:ptCount val="11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电力、热力、燃气及水的生产和供应业</c:v>
                </c:pt>
                <c:pt idx="7">
                  <c:v>科学研究、技术服务和地质勘查业</c:v>
                </c:pt>
                <c:pt idx="8">
                  <c:v>制造业</c:v>
                </c:pt>
                <c:pt idx="9">
                  <c:v>批发和零售业</c:v>
                </c:pt>
                <c:pt idx="10">
                  <c:v>金融业</c:v>
                </c:pt>
              </c:strCache>
            </c:strRef>
          </c:cat>
          <c:val>
            <c:numRef>
              <c:f>'2018年5月'!$D$142:$D$152</c:f>
              <c:numCache>
                <c:formatCode>0.00%</c:formatCode>
                <c:ptCount val="11"/>
                <c:pt idx="0">
                  <c:v>-1.117009882163527E-2</c:v>
                </c:pt>
                <c:pt idx="1">
                  <c:v>-6.9870270704380094E-4</c:v>
                </c:pt>
                <c:pt idx="2">
                  <c:v>0</c:v>
                </c:pt>
                <c:pt idx="3">
                  <c:v>0.11806288293317216</c:v>
                </c:pt>
                <c:pt idx="4">
                  <c:v>-0.12032727585839964</c:v>
                </c:pt>
                <c:pt idx="5">
                  <c:v>2.0069882844269742E-2</c:v>
                </c:pt>
                <c:pt idx="6">
                  <c:v>-8.5295458882723926E-3</c:v>
                </c:pt>
                <c:pt idx="7">
                  <c:v>6.5899742684335915E-3</c:v>
                </c:pt>
                <c:pt idx="8">
                  <c:v>-1.7059091776544785E-2</c:v>
                </c:pt>
                <c:pt idx="9">
                  <c:v>-1.0661932360340493E-2</c:v>
                </c:pt>
                <c:pt idx="10">
                  <c:v>2.372390736636093E-2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956672"/>
        <c:axId val="40958208"/>
      </c:barChart>
      <c:catAx>
        <c:axId val="40956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0958208"/>
        <c:crosses val="autoZero"/>
        <c:auto val="1"/>
        <c:lblAlgn val="ctr"/>
        <c:lblOffset val="100"/>
        <c:noMultiLvlLbl val="0"/>
      </c:catAx>
      <c:valAx>
        <c:axId val="40958208"/>
        <c:scaling>
          <c:orientation val="minMax"/>
          <c:max val="0.70000000000000007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4095667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03900673609"/>
          <c:y val="7.1841671964917433E-2"/>
          <c:w val="0.15070913949963904"/>
          <c:h val="0.249419474739570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2018-06-04T07:57:00Z</dcterms:created>
  <dcterms:modified xsi:type="dcterms:W3CDTF">2018-06-04T08:12:00Z</dcterms:modified>
</cp:coreProperties>
</file>